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495" w14:textId="77777777" w:rsidR="00466DAB" w:rsidRDefault="00000000">
      <w:pPr>
        <w:spacing w:after="16"/>
        <w:ind w:left="-5" w:hanging="10"/>
      </w:pPr>
      <w:r>
        <w:rPr>
          <w:rFonts w:ascii="Arial" w:eastAsia="Arial" w:hAnsi="Arial" w:cs="Arial"/>
          <w:b/>
        </w:rPr>
        <w:t xml:space="preserve">AAD011 </w:t>
      </w:r>
      <w:r>
        <w:rPr>
          <w:rFonts w:ascii="Arial" w:eastAsia="Arial" w:hAnsi="Arial" w:cs="Arial"/>
          <w:b/>
          <w:color w:val="FF0000"/>
        </w:rPr>
        <w:t>CASE STUDY TEMPLATE</w:t>
      </w:r>
      <w:r>
        <w:rPr>
          <w:rFonts w:ascii="Arial" w:eastAsia="Arial" w:hAnsi="Arial" w:cs="Arial"/>
          <w:b/>
        </w:rPr>
        <w:t xml:space="preserve"> </w:t>
      </w:r>
    </w:p>
    <w:p w14:paraId="49C2367F" w14:textId="77777777" w:rsidR="00466DAB" w:rsidRDefault="00000000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3AB19555" w14:textId="77777777" w:rsidR="00466DAB" w:rsidRDefault="00000000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14:paraId="49BAA6A2" w14:textId="4B53787B" w:rsidR="00466DAB" w:rsidRDefault="00000000">
      <w:pPr>
        <w:spacing w:after="16"/>
        <w:ind w:left="-5" w:hanging="10"/>
      </w:pPr>
      <w:r>
        <w:rPr>
          <w:rFonts w:ascii="Arial" w:eastAsia="Arial" w:hAnsi="Arial" w:cs="Arial"/>
          <w:b/>
        </w:rPr>
        <w:t xml:space="preserve">Student </w:t>
      </w:r>
      <w:r>
        <w:rPr>
          <w:rFonts w:ascii="Arial" w:eastAsia="Arial" w:hAnsi="Arial" w:cs="Arial"/>
          <w:b/>
          <w:color w:val="FF0000"/>
        </w:rPr>
        <w:t xml:space="preserve">Name, Surname:  </w:t>
      </w:r>
      <w:proofErr w:type="spellStart"/>
      <w:r w:rsidR="00636BB2">
        <w:rPr>
          <w:rFonts w:ascii="Arial" w:eastAsia="Arial" w:hAnsi="Arial" w:cs="Arial"/>
          <w:b/>
          <w:color w:val="FF0000"/>
        </w:rPr>
        <w:t>Tija</w:t>
      </w:r>
      <w:proofErr w:type="spellEnd"/>
      <w:r w:rsidR="00636BB2">
        <w:rPr>
          <w:rFonts w:ascii="Arial" w:eastAsia="Arial" w:hAnsi="Arial" w:cs="Arial"/>
          <w:b/>
          <w:color w:val="FF0000"/>
        </w:rPr>
        <w:t xml:space="preserve">, </w:t>
      </w:r>
      <w:proofErr w:type="spellStart"/>
      <w:r w:rsidR="00636BB2">
        <w:rPr>
          <w:rFonts w:ascii="Arial" w:eastAsia="Arial" w:hAnsi="Arial" w:cs="Arial"/>
          <w:b/>
          <w:color w:val="FF0000"/>
        </w:rPr>
        <w:t>Petruseviciute</w:t>
      </w:r>
      <w:proofErr w:type="spellEnd"/>
      <w:r w:rsidR="00636BB2">
        <w:rPr>
          <w:rFonts w:ascii="Arial" w:eastAsia="Arial" w:hAnsi="Arial" w:cs="Arial"/>
          <w:b/>
          <w:color w:val="FF0000"/>
        </w:rPr>
        <w:t xml:space="preserve"> </w:t>
      </w:r>
    </w:p>
    <w:p w14:paraId="18977D01" w14:textId="77777777" w:rsidR="00466DAB" w:rsidRDefault="00000000">
      <w:pPr>
        <w:spacing w:after="16"/>
      </w:pPr>
      <w:r>
        <w:rPr>
          <w:rFonts w:ascii="Arial" w:eastAsia="Arial" w:hAnsi="Arial" w:cs="Arial"/>
          <w:b/>
          <w:color w:val="FF0000"/>
        </w:rPr>
        <w:t xml:space="preserve"> </w:t>
      </w:r>
    </w:p>
    <w:p w14:paraId="06A35546" w14:textId="77777777" w:rsidR="00466DAB" w:rsidRDefault="00000000">
      <w:pPr>
        <w:pStyle w:val="Heading1"/>
        <w:ind w:left="-5"/>
      </w:pPr>
      <w:r>
        <w:t xml:space="preserve">Module: Contextual Research and Understanding </w:t>
      </w:r>
    </w:p>
    <w:p w14:paraId="430B23F7" w14:textId="77777777" w:rsidR="00466DAB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6F83CA" w14:textId="77777777" w:rsidR="00466DAB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A1F93AE" w14:textId="77777777" w:rsidR="00466DA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4"/>
        <w:ind w:left="105"/>
      </w:pPr>
      <w:r>
        <w:rPr>
          <w:rFonts w:ascii="Arial" w:eastAsia="Arial" w:hAnsi="Arial" w:cs="Arial"/>
          <w:sz w:val="18"/>
        </w:rPr>
        <w:t xml:space="preserve"> </w:t>
      </w:r>
    </w:p>
    <w:p w14:paraId="08715600" w14:textId="77777777" w:rsidR="00466DA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" w:line="239" w:lineRule="auto"/>
        <w:ind w:left="115" w:hanging="10"/>
      </w:pPr>
      <w:r>
        <w:rPr>
          <w:rFonts w:ascii="Arial" w:eastAsia="Arial" w:hAnsi="Arial" w:cs="Arial"/>
        </w:rPr>
        <w:t xml:space="preserve">Your participation to the module requires that you research the weekly theme to find appropriate information on each topic (theme). Include a relevant artist or designer from the respective topic which may be relevant to your practice. </w:t>
      </w:r>
    </w:p>
    <w:p w14:paraId="7EFD0507" w14:textId="35C48E46" w:rsidR="00466DA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" w:line="239" w:lineRule="auto"/>
        <w:ind w:left="115" w:hanging="10"/>
      </w:pPr>
      <w:r>
        <w:rPr>
          <w:rFonts w:ascii="Arial" w:eastAsia="Arial" w:hAnsi="Arial" w:cs="Arial"/>
        </w:rPr>
        <w:t>For each seminar</w:t>
      </w:r>
      <w:r w:rsidR="0029742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session print out 1 x A4 copy and bring to </w:t>
      </w:r>
      <w:r w:rsidR="0029742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seminar session. This must also be posted to Blog before the lecture so that it could be discussed in class </w:t>
      </w:r>
      <w:r w:rsidR="00297426"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</w:rPr>
        <w:t xml:space="preserve"> the seminar.  You will submit 7 x A4 Case Studies with final presentations in Week 11 and Week 12. </w:t>
      </w:r>
    </w:p>
    <w:p w14:paraId="4BB6E53D" w14:textId="77777777" w:rsidR="00466DA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05"/>
      </w:pPr>
      <w:r>
        <w:rPr>
          <w:rFonts w:ascii="Arial" w:eastAsia="Arial" w:hAnsi="Arial" w:cs="Arial"/>
        </w:rPr>
        <w:t xml:space="preserve"> </w:t>
      </w:r>
    </w:p>
    <w:p w14:paraId="42852D33" w14:textId="77777777" w:rsidR="00466DAB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A23E7C7" w14:textId="77777777" w:rsidR="00466DAB" w:rsidRDefault="00000000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1E7F8680" w14:textId="30CA0DA8" w:rsidR="00466DAB" w:rsidRDefault="00000000">
      <w:pPr>
        <w:spacing w:after="163"/>
      </w:pPr>
      <w:r>
        <w:rPr>
          <w:rFonts w:ascii="Arial" w:eastAsia="Arial" w:hAnsi="Arial" w:cs="Arial"/>
          <w:b/>
        </w:rPr>
        <w:t xml:space="preserve">Theme: </w:t>
      </w:r>
      <w:r w:rsidR="00636BB2">
        <w:rPr>
          <w:rFonts w:ascii="Arial" w:eastAsia="Arial" w:hAnsi="Arial" w:cs="Arial"/>
        </w:rPr>
        <w:t xml:space="preserve">Place </w:t>
      </w:r>
    </w:p>
    <w:p w14:paraId="4DFDB6DA" w14:textId="4C33656B" w:rsidR="00636BB2" w:rsidRDefault="003065F4">
      <w:pPr>
        <w:spacing w:after="158"/>
      </w:pPr>
      <w:proofErr w:type="gramStart"/>
      <w:r>
        <w:t>Markus</w:t>
      </w:r>
      <w:proofErr w:type="gramEnd"/>
      <w:r>
        <w:t xml:space="preserve"> ‘star’ Harwood-jones </w:t>
      </w:r>
    </w:p>
    <w:p w14:paraId="239C827D" w14:textId="48024A3C" w:rsidR="00636BB2" w:rsidRDefault="003065F4">
      <w:pPr>
        <w:spacing w:after="158"/>
      </w:pPr>
      <w:r>
        <w:fldChar w:fldCharType="begin"/>
      </w:r>
      <w:r>
        <w:instrText xml:space="preserve"> INCLUDEPICTURE "https://ctl.s6img.com/society6/img/xjB7HmvpgcbAg9aE4AP0Jy_ncsU/w_700/prints/~artwork/s6-0063/a/26353436_7373194/~~/gender-norms-are-boring-24y-prints.jpg?attempt=0"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7AEE96" wp14:editId="1B8AEF33">
            <wp:extent cx="3000777" cy="3000777"/>
            <wp:effectExtent l="0" t="0" r="0" b="0"/>
            <wp:docPr id="2" name="Picture 2" descr="Gender Norms are Boring Art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der Norms are Boring Art 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56" cy="302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F7CBFA" w14:textId="3503F59F" w:rsidR="00466DAB" w:rsidRPr="003065F4" w:rsidRDefault="003065F4">
      <w:pPr>
        <w:spacing w:after="158"/>
      </w:pPr>
      <w:proofErr w:type="gramStart"/>
      <w:r>
        <w:t>Markus</w:t>
      </w:r>
      <w:proofErr w:type="gramEnd"/>
      <w:r>
        <w:t xml:space="preserve"> ‘star’ Harwood-jones </w:t>
      </w:r>
    </w:p>
    <w:p w14:paraId="6B59C80B" w14:textId="6DCBC6B5" w:rsidR="00466DAB" w:rsidRPr="00636BB2" w:rsidRDefault="003065F4" w:rsidP="00636BB2">
      <w:pPr>
        <w:spacing w:after="158"/>
        <w:rPr>
          <w:rFonts w:ascii="Arial" w:eastAsia="Arial" w:hAnsi="Arial" w:cs="Arial"/>
          <w:sz w:val="20"/>
          <w:szCs w:val="21"/>
        </w:rPr>
      </w:pPr>
      <w:r>
        <w:rPr>
          <w:rFonts w:ascii="Arial" w:eastAsia="Arial" w:hAnsi="Arial" w:cs="Arial"/>
          <w:sz w:val="20"/>
          <w:szCs w:val="21"/>
        </w:rPr>
        <w:t>Harwood is an author, artist and academic who is based in Toronto USA. He is very vocal about gender and sexuality</w:t>
      </w:r>
      <w:r w:rsidR="00297426">
        <w:rPr>
          <w:rFonts w:ascii="Arial" w:eastAsia="Arial" w:hAnsi="Arial" w:cs="Arial"/>
          <w:sz w:val="20"/>
          <w:szCs w:val="21"/>
        </w:rPr>
        <w:t>, so I thought he would be an amazing artist</w:t>
      </w:r>
      <w:r>
        <w:rPr>
          <w:rFonts w:ascii="Arial" w:eastAsia="Arial" w:hAnsi="Arial" w:cs="Arial"/>
          <w:sz w:val="20"/>
          <w:szCs w:val="21"/>
        </w:rPr>
        <w:t xml:space="preserve">. He is very in tune with gender and also studied gender science </w:t>
      </w:r>
      <w:r w:rsidR="00297426">
        <w:rPr>
          <w:rFonts w:ascii="Arial" w:eastAsia="Arial" w:hAnsi="Arial" w:cs="Arial"/>
          <w:sz w:val="20"/>
          <w:szCs w:val="21"/>
        </w:rPr>
        <w:t>at</w:t>
      </w:r>
      <w:r>
        <w:rPr>
          <w:rFonts w:ascii="Arial" w:eastAsia="Arial" w:hAnsi="Arial" w:cs="Arial"/>
          <w:sz w:val="20"/>
          <w:szCs w:val="21"/>
        </w:rPr>
        <w:t xml:space="preserve"> </w:t>
      </w:r>
      <w:r w:rsidR="00297426">
        <w:rPr>
          <w:rFonts w:ascii="Arial" w:eastAsia="Arial" w:hAnsi="Arial" w:cs="Arial"/>
          <w:sz w:val="20"/>
          <w:szCs w:val="21"/>
        </w:rPr>
        <w:t>queen’s</w:t>
      </w:r>
      <w:r>
        <w:rPr>
          <w:rFonts w:ascii="Arial" w:eastAsia="Arial" w:hAnsi="Arial" w:cs="Arial"/>
          <w:sz w:val="20"/>
          <w:szCs w:val="21"/>
        </w:rPr>
        <w:t xml:space="preserve"> university. I love the way his artworks bend gender norms and add more fluidity to the meaning of gender. He allows us to look past the typical norms like blue for </w:t>
      </w:r>
      <w:r w:rsidR="00297426">
        <w:rPr>
          <w:rFonts w:ascii="Arial" w:eastAsia="Arial" w:hAnsi="Arial" w:cs="Arial"/>
          <w:sz w:val="20"/>
          <w:szCs w:val="21"/>
        </w:rPr>
        <w:t xml:space="preserve">a </w:t>
      </w:r>
      <w:r>
        <w:rPr>
          <w:rFonts w:ascii="Arial" w:eastAsia="Arial" w:hAnsi="Arial" w:cs="Arial"/>
          <w:sz w:val="20"/>
          <w:szCs w:val="21"/>
        </w:rPr>
        <w:t xml:space="preserve">boy or pink for </w:t>
      </w:r>
      <w:r w:rsidR="00297426">
        <w:rPr>
          <w:rFonts w:ascii="Arial" w:eastAsia="Arial" w:hAnsi="Arial" w:cs="Arial"/>
          <w:sz w:val="20"/>
          <w:szCs w:val="21"/>
        </w:rPr>
        <w:t xml:space="preserve">a </w:t>
      </w:r>
      <w:r>
        <w:rPr>
          <w:rFonts w:ascii="Arial" w:eastAsia="Arial" w:hAnsi="Arial" w:cs="Arial"/>
          <w:sz w:val="20"/>
          <w:szCs w:val="21"/>
        </w:rPr>
        <w:t xml:space="preserve">girl and allows us to express gender through what we feel </w:t>
      </w:r>
      <w:r w:rsidR="00297426">
        <w:rPr>
          <w:rFonts w:ascii="Arial" w:eastAsia="Arial" w:hAnsi="Arial" w:cs="Arial"/>
          <w:sz w:val="20"/>
          <w:szCs w:val="21"/>
        </w:rPr>
        <w:t>inside.</w:t>
      </w:r>
      <w:r>
        <w:rPr>
          <w:rFonts w:ascii="Arial" w:eastAsia="Arial" w:hAnsi="Arial" w:cs="Arial"/>
          <w:sz w:val="20"/>
          <w:szCs w:val="21"/>
        </w:rPr>
        <w:t xml:space="preserve"> </w:t>
      </w:r>
    </w:p>
    <w:sectPr w:rsidR="00466DAB" w:rsidRPr="00636BB2">
      <w:pgSz w:w="12240" w:h="15840"/>
      <w:pgMar w:top="1447" w:right="1438" w:bottom="14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AB"/>
    <w:rsid w:val="00297426"/>
    <w:rsid w:val="003065F4"/>
    <w:rsid w:val="00466DAB"/>
    <w:rsid w:val="006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F6B94"/>
  <w15:docId w15:val="{22B572FA-98BF-6749-83CE-8C3F7D2D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Ionascu, Adriana</dc:creator>
  <cp:keywords/>
  <cp:lastModifiedBy>Tija Petruseviciute</cp:lastModifiedBy>
  <cp:revision>3</cp:revision>
  <dcterms:created xsi:type="dcterms:W3CDTF">2023-03-07T22:31:00Z</dcterms:created>
  <dcterms:modified xsi:type="dcterms:W3CDTF">2023-03-28T22:15:00Z</dcterms:modified>
</cp:coreProperties>
</file>